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PROCURAÇÃO</w:t>
      </w:r>
    </w:p>
    <w:p w:rsidR="00000000" w:rsidDel="00000000" w:rsidP="00000000" w:rsidRDefault="00000000" w:rsidRPr="00000000" w14:paraId="00000002">
      <w:pPr>
        <w:spacing w:line="240" w:lineRule="auto"/>
        <w:rPr>
          <w:rFonts w:ascii="Times New Roman" w:cs="Times New Roman" w:eastAsia="Times New Roman" w:hAnsi="Times New Roman"/>
          <w:highlight w:val="white"/>
        </w:rPr>
      </w:pPr>
      <w:r w:rsidDel="00000000" w:rsidR="00000000" w:rsidRPr="00000000">
        <w:rPr>
          <w:rtl w:val="0"/>
        </w:rPr>
      </w:r>
    </w:p>
    <w:tbl>
      <w:tblPr>
        <w:tblStyle w:val="Table1"/>
        <w:tblW w:w="9029.3799212598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750"/>
        <w:gridCol w:w="750"/>
        <w:gridCol w:w="750"/>
        <w:gridCol w:w="750"/>
        <w:gridCol w:w="750"/>
        <w:gridCol w:w="750"/>
        <w:gridCol w:w="755.8759842519686"/>
        <w:gridCol w:w="755.8759842519686"/>
        <w:gridCol w:w="755.8759842519686"/>
        <w:gridCol w:w="755.8759842519686"/>
        <w:gridCol w:w="755.8759842519686"/>
        <w:tblGridChange w:id="0">
          <w:tblGrid>
            <w:gridCol w:w="750"/>
            <w:gridCol w:w="750"/>
            <w:gridCol w:w="750"/>
            <w:gridCol w:w="750"/>
            <w:gridCol w:w="750"/>
            <w:gridCol w:w="750"/>
            <w:gridCol w:w="750"/>
            <w:gridCol w:w="755.8759842519686"/>
            <w:gridCol w:w="755.8759842519686"/>
            <w:gridCol w:w="755.8759842519686"/>
            <w:gridCol w:w="755.8759842519686"/>
            <w:gridCol w:w="755.8759842519686"/>
          </w:tblGrid>
        </w:tblGridChange>
      </w:tblGrid>
      <w:tr>
        <w:trPr>
          <w:cantSplit w:val="0"/>
          <w:trHeight w:val="225" w:hRule="atLeast"/>
          <w:tblHeader w:val="0"/>
        </w:trPr>
        <w:tc>
          <w:tcPr>
            <w:gridSpan w:val="9"/>
            <w:tcBorders>
              <w:top w:color="000000" w:space="0" w:sz="5" w:val="single"/>
              <w:left w:color="000000"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03">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NOME</w:t>
            </w:r>
            <w:r w:rsidDel="00000000" w:rsidR="00000000" w:rsidRPr="00000000">
              <w:rPr>
                <w:rtl w:val="0"/>
              </w:rPr>
            </w:r>
          </w:p>
        </w:tc>
        <w:tc>
          <w:tcPr>
            <w:gridSpan w:val="3"/>
            <w:tcBorders>
              <w:top w:color="000000" w:space="0" w:sz="4" w:val="single"/>
              <w:left w:color="000000" w:space="0" w:sz="8" w:val="single"/>
              <w:bottom w:color="cccccc"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0C">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CPF</w:t>
            </w:r>
            <w:r w:rsidDel="00000000" w:rsidR="00000000" w:rsidRPr="00000000">
              <w:rPr>
                <w:rtl w:val="0"/>
              </w:rPr>
            </w:r>
          </w:p>
        </w:tc>
      </w:tr>
      <w:tr>
        <w:trPr>
          <w:cantSplit w:val="0"/>
          <w:trHeight w:val="300" w:hRule="atLeast"/>
          <w:tblHeader w:val="0"/>
        </w:trPr>
        <w:tc>
          <w:tcPr>
            <w:gridSpan w:val="9"/>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0F">
            <w:pPr>
              <w:spacing w:line="240" w:lineRule="auto"/>
              <w:rPr>
                <w:rFonts w:ascii="Times New Roman" w:cs="Times New Roman" w:eastAsia="Times New Roman" w:hAnsi="Times New Roman"/>
                <w:sz w:val="22"/>
                <w:szCs w:val="22"/>
                <w:highlight w:val="white"/>
              </w:rPr>
            </w:pPr>
            <w:r w:rsidDel="00000000" w:rsidR="00000000" w:rsidRPr="00000000">
              <w:rPr>
                <w:rtl w:val="0"/>
              </w:rPr>
            </w:r>
          </w:p>
        </w:tc>
        <w:tc>
          <w:tcPr>
            <w:gridSpan w:val="3"/>
            <w:tcBorders>
              <w:top w:color="cccccc" w:space="0" w:sz="8"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18">
            <w:pPr>
              <w:spacing w:line="240" w:lineRule="auto"/>
              <w:rPr>
                <w:rFonts w:ascii="Times New Roman" w:cs="Times New Roman" w:eastAsia="Times New Roman" w:hAnsi="Times New Roman"/>
                <w:sz w:val="22"/>
                <w:szCs w:val="22"/>
                <w:highlight w:val="white"/>
              </w:rPr>
            </w:pPr>
            <w:r w:rsidDel="00000000" w:rsidR="00000000" w:rsidRPr="00000000">
              <w:rPr>
                <w:rtl w:val="0"/>
              </w:rPr>
            </w:r>
          </w:p>
        </w:tc>
      </w:tr>
      <w:tr>
        <w:trPr>
          <w:cantSplit w:val="0"/>
          <w:trHeight w:val="225" w:hRule="atLeast"/>
          <w:tblHeader w:val="0"/>
        </w:trPr>
        <w:tc>
          <w:tcPr>
            <w:gridSpan w:val="9"/>
            <w:tcBorders>
              <w:top w:color="cccccc" w:space="0" w:sz="5" w:val="single"/>
              <w:left w:color="000000"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1B">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ENDEREÇO</w:t>
            </w:r>
            <w:r w:rsidDel="00000000" w:rsidR="00000000" w:rsidRPr="00000000">
              <w:rPr>
                <w:rtl w:val="0"/>
              </w:rPr>
            </w:r>
          </w:p>
        </w:tc>
        <w:tc>
          <w:tcPr>
            <w:gridSpan w:val="3"/>
            <w:tcBorders>
              <w:top w:color="cccccc" w:space="0" w:sz="5" w:val="single"/>
              <w:left w:color="cccccc"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24">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CEP</w:t>
            </w:r>
            <w:r w:rsidDel="00000000" w:rsidR="00000000" w:rsidRPr="00000000">
              <w:rPr>
                <w:rtl w:val="0"/>
              </w:rPr>
            </w:r>
          </w:p>
        </w:tc>
      </w:tr>
      <w:tr>
        <w:trPr>
          <w:cantSplit w:val="0"/>
          <w:trHeight w:val="300" w:hRule="atLeast"/>
          <w:tblHeader w:val="0"/>
        </w:trPr>
        <w:tc>
          <w:tcPr>
            <w:gridSpan w:val="9"/>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27">
            <w:pPr>
              <w:spacing w:line="240" w:lineRule="auto"/>
              <w:rPr>
                <w:rFonts w:ascii="Times New Roman" w:cs="Times New Roman" w:eastAsia="Times New Roman" w:hAnsi="Times New Roman"/>
                <w:sz w:val="22"/>
                <w:szCs w:val="22"/>
                <w:highlight w:val="white"/>
              </w:rPr>
            </w:pPr>
            <w:r w:rsidDel="00000000" w:rsidR="00000000" w:rsidRPr="00000000">
              <w:rPr>
                <w:rtl w:val="0"/>
              </w:rPr>
            </w:r>
          </w:p>
        </w:tc>
        <w:tc>
          <w:tcPr>
            <w:gridSpan w:val="3"/>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spacing w:line="240" w:lineRule="auto"/>
              <w:rPr>
                <w:rFonts w:ascii="Times New Roman" w:cs="Times New Roman" w:eastAsia="Times New Roman" w:hAnsi="Times New Roman"/>
                <w:sz w:val="22"/>
                <w:szCs w:val="22"/>
                <w:highlight w:val="white"/>
              </w:rPr>
            </w:pPr>
            <w:r w:rsidDel="00000000" w:rsidR="00000000" w:rsidRPr="00000000">
              <w:rPr>
                <w:rtl w:val="0"/>
              </w:rPr>
            </w:r>
          </w:p>
        </w:tc>
      </w:tr>
      <w:tr>
        <w:trPr>
          <w:cantSplit w:val="0"/>
          <w:trHeight w:val="300" w:hRule="atLeast"/>
          <w:tblHeader w:val="0"/>
        </w:trPr>
        <w:tc>
          <w:tcPr>
            <w:gridSpan w:val="3"/>
            <w:tcBorders>
              <w:top w:color="cccccc" w:space="0" w:sz="5" w:val="single"/>
              <w:left w:color="000000"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ESTADO CIVIL</w:t>
            </w:r>
            <w:r w:rsidDel="00000000" w:rsidR="00000000" w:rsidRPr="00000000">
              <w:rPr>
                <w:rtl w:val="0"/>
              </w:rPr>
            </w:r>
          </w:p>
        </w:tc>
        <w:tc>
          <w:tcPr>
            <w:gridSpan w:val="3"/>
            <w:tcBorders>
              <w:top w:color="cccccc" w:space="0" w:sz="5" w:val="single"/>
              <w:left w:color="cccccc"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PROFISSÃO</w:t>
            </w:r>
            <w:r w:rsidDel="00000000" w:rsidR="00000000" w:rsidRPr="00000000">
              <w:rPr>
                <w:rtl w:val="0"/>
              </w:rPr>
            </w:r>
          </w:p>
        </w:tc>
        <w:tc>
          <w:tcPr>
            <w:gridSpan w:val="3"/>
            <w:tcBorders>
              <w:top w:color="cccccc" w:space="0" w:sz="5" w:val="single"/>
              <w:left w:color="cccccc"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TELEFONE DE CONTATO</w:t>
            </w:r>
            <w:r w:rsidDel="00000000" w:rsidR="00000000" w:rsidRPr="00000000">
              <w:rPr>
                <w:rtl w:val="0"/>
              </w:rPr>
            </w:r>
          </w:p>
        </w:tc>
        <w:tc>
          <w:tcPr>
            <w:gridSpan w:val="3"/>
            <w:tcBorders>
              <w:top w:color="cccccc" w:space="0" w:sz="5" w:val="single"/>
              <w:left w:color="cccccc" w:space="0" w:sz="5" w:val="single"/>
              <w:bottom w:color="cccccc"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spacing w:line="24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bCs w:val="1"/>
                <w:sz w:val="16"/>
                <w:szCs w:val="16"/>
                <w:highlight w:val="white"/>
                <w:rtl w:val="0"/>
              </w:rPr>
              <w:t xml:space="preserve">E-MAIL</w:t>
            </w:r>
            <w:r w:rsidDel="00000000" w:rsidR="00000000" w:rsidRPr="00000000">
              <w:rPr>
                <w:rtl w:val="0"/>
              </w:rPr>
            </w:r>
          </w:p>
        </w:tc>
      </w:tr>
      <w:tr>
        <w:trPr>
          <w:cantSplit w:val="0"/>
          <w:trHeight w:val="300" w:hRule="atLeast"/>
          <w:tblHeader w:val="0"/>
        </w:trPr>
        <w:tc>
          <w:tcPr>
            <w:gridSpan w:val="3"/>
            <w:tcBorders>
              <w:top w:color="cccccc" w:space="0" w:sz="5" w:val="single"/>
              <w:left w:color="000000"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spacing w:line="240" w:lineRule="auto"/>
              <w:rPr>
                <w:rFonts w:ascii="Times New Roman" w:cs="Times New Roman" w:eastAsia="Times New Roman" w:hAnsi="Times New Roman"/>
                <w:sz w:val="22"/>
                <w:szCs w:val="22"/>
                <w:highlight w:val="white"/>
              </w:rPr>
            </w:pPr>
            <w:r w:rsidDel="00000000" w:rsidR="00000000" w:rsidRPr="00000000">
              <w:rPr>
                <w:rtl w:val="0"/>
              </w:rPr>
            </w:r>
          </w:p>
        </w:tc>
        <w:tc>
          <w:tcPr>
            <w:gridSpan w:val="3"/>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spacing w:line="240" w:lineRule="auto"/>
              <w:rPr>
                <w:rFonts w:ascii="Times New Roman" w:cs="Times New Roman" w:eastAsia="Times New Roman" w:hAnsi="Times New Roman"/>
                <w:sz w:val="22"/>
                <w:szCs w:val="22"/>
                <w:highlight w:val="white"/>
              </w:rPr>
            </w:pPr>
            <w:r w:rsidDel="00000000" w:rsidR="00000000" w:rsidRPr="00000000">
              <w:rPr>
                <w:rtl w:val="0"/>
              </w:rPr>
            </w:r>
          </w:p>
        </w:tc>
        <w:tc>
          <w:tcPr>
            <w:gridSpan w:val="3"/>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spacing w:line="240" w:lineRule="auto"/>
              <w:rPr>
                <w:rFonts w:ascii="Times New Roman" w:cs="Times New Roman" w:eastAsia="Times New Roman" w:hAnsi="Times New Roman"/>
                <w:sz w:val="22"/>
                <w:szCs w:val="22"/>
                <w:highlight w:val="white"/>
              </w:rPr>
            </w:pPr>
            <w:r w:rsidDel="00000000" w:rsidR="00000000" w:rsidRPr="00000000">
              <w:rPr>
                <w:rtl w:val="0"/>
              </w:rPr>
            </w:r>
          </w:p>
        </w:tc>
        <w:tc>
          <w:tcPr>
            <w:gridSpan w:val="3"/>
            <w:tcBorders>
              <w:top w:color="cccccc" w:space="0" w:sz="5" w:val="single"/>
              <w:left w:color="cccccc" w:space="0" w:sz="5" w:val="single"/>
              <w:bottom w:color="000000" w:space="0" w:sz="5" w:val="single"/>
              <w:right w:color="000000"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spacing w:line="240" w:lineRule="auto"/>
              <w:rPr>
                <w:rFonts w:ascii="Times New Roman" w:cs="Times New Roman" w:eastAsia="Times New Roman" w:hAnsi="Times New Roman"/>
                <w:sz w:val="22"/>
                <w:szCs w:val="22"/>
                <w:highlight w:val="white"/>
              </w:rPr>
            </w:pPr>
            <w:r w:rsidDel="00000000" w:rsidR="00000000" w:rsidRPr="00000000">
              <w:rPr>
                <w:rtl w:val="0"/>
              </w:rPr>
            </w:r>
          </w:p>
        </w:tc>
      </w:tr>
    </w:tbl>
    <w:p w:rsidR="00000000" w:rsidDel="00000000" w:rsidP="00000000" w:rsidRDefault="00000000" w:rsidRPr="00000000" w14:paraId="0000004B">
      <w:pPr>
        <w:spacing w:line="240" w:lineRule="auto"/>
        <w:ind w:left="0" w:firstLine="0"/>
        <w:rPr>
          <w:rFonts w:ascii="Times New Roman" w:cs="Times New Roman" w:eastAsia="Times New Roman" w:hAnsi="Times New Roman"/>
          <w:sz w:val="10"/>
          <w:szCs w:val="10"/>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Pelo presente instrumento de mandato, o(a) outorgante, devidamente qualificado(a) acima, nomeia e constitui como seus procuradores os advogados MÁRIO DE ANDRADE MACIEIRA, JOSÉ GUILHERME CARVALHO ZAGALLO, ANTONIO DE JESUS LEITÃO NUNES, ANTONIO EMÍLIO NUNES ROCHA, FELIPE JOSÉ NUNES ROCHA, HILTON EWERTON DURANS FARIAS, ARNALDO VIEIRA SOUSA, DIEGO ROBERT SANTOS MARANHÃO, GLAYDSON CAMPELO DE ALMEIDA RODRIGUES, PAULO CÉSAR CORREA LINHARES, JOAO GUILHERME CARVALHO ZAGALLO, ALEX BRASIL MANINHO e THAMIRES RODRIGUES GUIMARÃES</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advogados inscritos na Ordem dos Advogados do Brasil, Seccional do Maranhão, sob os respectivos números: 4.217, 4.059, 4.311, 7.186, 7.977, 12.887, 10.475, 10.438, 11.627, 12.983, 16.712-A, 11.491 e 25.263. Seus números de Cadastro de Pessoas Físicas são: 471.224.043-15, 199.476.582-87, 409.486.253-68, 917.912.783-53, 667.028.283-49, 027.362.303-61, 017.109.883-80, 957.283.763-04, 022.046.413-83, 043.051.393-32, 841.337.833-87, 001.990.243-32 e 612.601.633-50</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integrantes da sociedade de advogados MACIEIRA, NUNES, ZAGALLO &amp; ADVOGADOS ASSOCIADOS, registrada na Ordem dos Advogados do Brasil, Conselho Seccional do Maranhão, sob o n.º 0018</w:t>
      </w:r>
      <w:r w:rsidDel="00000000" w:rsidR="00000000" w:rsidRPr="00000000">
        <w:rPr>
          <w:rFonts w:ascii="Times New Roman" w:cs="Times New Roman" w:eastAsia="Times New Roman" w:hAnsi="Times New Roman"/>
          <w:sz w:val="22"/>
          <w:szCs w:val="22"/>
          <w:highlight w:val="white"/>
          <w:rtl w:val="0"/>
        </w:rPr>
        <w:t xml:space="preserve">, com sede na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Avenida do Vale, Quadra 22, n.º 10, Renascença II, São Luís, Maranhão, CEP 65.075-820</w:t>
      </w:r>
      <w:r w:rsidDel="00000000" w:rsidR="00000000" w:rsidRPr="00000000">
        <w:rPr>
          <w:rFonts w:ascii="Times New Roman" w:cs="Times New Roman" w:eastAsia="Times New Roman" w:hAnsi="Times New Roman"/>
          <w:sz w:val="22"/>
          <w:szCs w:val="22"/>
          <w:highlight w:val="white"/>
          <w:rtl w:val="0"/>
        </w:rPr>
        <w:t xml:space="preserve">, lhes conferindo</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poderes gerais para o foro, necessários ao bom e fiel cumprimento deste mandato. Estes poderes incluem a capacidade de propor as ações competentes contra quem de direito, defender o outorgante nas ações contrárias, e acompanhar todas as causas até a decisão final</w:t>
      </w:r>
      <w:r w:rsidDel="00000000" w:rsidR="00000000" w:rsidRPr="00000000">
        <w:rPr>
          <w:rFonts w:ascii="Times New Roman" w:cs="Times New Roman" w:eastAsia="Times New Roman" w:hAnsi="Times New Roman"/>
          <w:sz w:val="22"/>
          <w:szCs w:val="22"/>
          <w:highlight w:val="white"/>
          <w:rtl w:val="0"/>
        </w:rPr>
        <w:t xml:space="preserve">, podendo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promover quaisquer medidas judiciais em qualquer instância, e, em nome do outorgante, receber citação, confessar, reconhecer a procedência do pedido, transigir, desistir, renunciar ao direito sobre o qual se funda a ação, receber valores, dar quitação, firmar compromisso e assinar declaração de hipossuficiência econômica.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0"/>
          <w:szCs w:val="10"/>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Os procuradores podem atuar individualmente ou em conjunto, com permissão para substabelecer poderes com ou sem reserva</w:t>
      </w:r>
      <w:r w:rsidDel="00000000" w:rsidR="00000000" w:rsidRPr="00000000">
        <w:rPr>
          <w:rFonts w:ascii="Times New Roman" w:cs="Times New Roman" w:eastAsia="Times New Roman" w:hAnsi="Times New Roman"/>
          <w:sz w:val="22"/>
          <w:szCs w:val="22"/>
          <w:highlight w:val="white"/>
          <w:rtl w:val="0"/>
        </w:rPr>
        <w:t xml:space="preserve"> 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sz w:val="22"/>
          <w:szCs w:val="22"/>
          <w:highlight w:val="whit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stão autorizados a descontar 10% (dez por cento) do valor bruto dos benefícios como honorários contratuais se não houver condenação da parte contrária em honorários sucumbenciais, ou 5% (cinco por cento) em caso de condenação.</w:t>
      </w:r>
    </w:p>
    <w:p w:rsidR="00000000" w:rsidDel="00000000" w:rsidP="00000000" w:rsidRDefault="00000000" w:rsidRPr="00000000" w14:paraId="0000004F">
      <w:pPr>
        <w:spacing w:line="240" w:lineRule="auto"/>
        <w:ind w:left="0" w:firstLine="0"/>
        <w:jc w:val="both"/>
        <w:rPr>
          <w:rFonts w:ascii="Times New Roman" w:cs="Times New Roman" w:eastAsia="Times New Roman" w:hAnsi="Times New Roman"/>
          <w:sz w:val="10"/>
          <w:szCs w:val="10"/>
          <w:highlight w:val="white"/>
        </w:rPr>
      </w:pPr>
      <w:r w:rsidDel="00000000" w:rsidR="00000000" w:rsidRPr="00000000">
        <w:rPr>
          <w:rtl w:val="0"/>
        </w:rPr>
      </w:r>
    </w:p>
    <w:p w:rsidR="00000000" w:rsidDel="00000000" w:rsidP="00000000" w:rsidRDefault="00000000" w:rsidRPr="00000000" w14:paraId="00000050">
      <w:pPr>
        <w:spacing w:line="240" w:lineRule="auto"/>
        <w:ind w:left="0" w:firstLine="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Por fim, o(a) outorgante declara:</w:t>
      </w:r>
    </w:p>
    <w:p w:rsidR="00000000" w:rsidDel="00000000" w:rsidP="00000000" w:rsidRDefault="00000000" w:rsidRPr="00000000" w14:paraId="00000051">
      <w:pPr>
        <w:numPr>
          <w:ilvl w:val="0"/>
          <w:numId w:val="1"/>
        </w:numPr>
        <w:spacing w:line="240"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Que não possui ação individual;</w:t>
      </w:r>
    </w:p>
    <w:p w:rsidR="00000000" w:rsidDel="00000000" w:rsidP="00000000" w:rsidRDefault="00000000" w:rsidRPr="00000000" w14:paraId="00000052">
      <w:pPr>
        <w:numPr>
          <w:ilvl w:val="0"/>
          <w:numId w:val="1"/>
        </w:numPr>
        <w:spacing w:line="240"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Ter sido informado(a) de que, em razão da reforma trabalhista, a eventual improcedência da ação poderá resultar em sua condenação ao pagamento de custas processuais e honorários advocatícios;</w:t>
      </w:r>
    </w:p>
    <w:p w:rsidR="00000000" w:rsidDel="00000000" w:rsidP="00000000" w:rsidRDefault="00000000" w:rsidRPr="00000000" w14:paraId="00000053">
      <w:pPr>
        <w:numPr>
          <w:ilvl w:val="0"/>
          <w:numId w:val="1"/>
        </w:numPr>
        <w:spacing w:line="240"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Não ter condições de arcar com nenhum tipo de pagamento de custas processuais, sob pena de implicar em prejuízo próprio e de sua família, nos termos da legislação em vigor; e,</w:t>
      </w:r>
    </w:p>
    <w:p w:rsidR="00000000" w:rsidDel="00000000" w:rsidP="00000000" w:rsidRDefault="00000000" w:rsidRPr="00000000" w14:paraId="00000054">
      <w:pPr>
        <w:numPr>
          <w:ilvl w:val="0"/>
          <w:numId w:val="1"/>
        </w:numPr>
        <w:spacing w:line="240"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Ter sido informado(a) que o período não compreendido na documentação enviada será considerado como não pleiteado na ação.</w:t>
      </w:r>
      <w:r w:rsidDel="00000000" w:rsidR="00000000" w:rsidRPr="00000000">
        <w:rPr>
          <w:rtl w:val="0"/>
        </w:rPr>
      </w:r>
    </w:p>
    <w:p w:rsidR="00000000" w:rsidDel="00000000" w:rsidP="00000000" w:rsidRDefault="00000000" w:rsidRPr="00000000" w14:paraId="00000055">
      <w:pPr>
        <w:spacing w:line="240" w:lineRule="auto"/>
        <w:ind w:left="0" w:firstLine="0"/>
        <w:jc w:val="cente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6">
      <w:pPr>
        <w:spacing w:line="240" w:lineRule="auto"/>
        <w:ind w:left="0" w:firstLine="0"/>
        <w:jc w:val="cente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São Luís, _____ de __________ de _____.</w:t>
      </w:r>
    </w:p>
    <w:p w:rsidR="00000000" w:rsidDel="00000000" w:rsidP="00000000" w:rsidRDefault="00000000" w:rsidRPr="00000000" w14:paraId="00000057">
      <w:pPr>
        <w:spacing w:line="240" w:lineRule="auto"/>
        <w:ind w:left="0" w:firstLine="0"/>
        <w:jc w:val="cente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8">
      <w:pPr>
        <w:spacing w:line="240" w:lineRule="auto"/>
        <w:ind w:left="0" w:firstLine="0"/>
        <w:jc w:val="center"/>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9">
      <w:pPr>
        <w:spacing w:line="240" w:lineRule="auto"/>
        <w:ind w:left="0" w:firstLine="0"/>
        <w:jc w:val="center"/>
        <w:rPr>
          <w:rFonts w:ascii="Times New Roman" w:cs="Times New Roman" w:eastAsia="Times New Roman" w:hAnsi="Times New Roman"/>
          <w:sz w:val="22"/>
          <w:szCs w:val="22"/>
          <w:highlight w:val="white"/>
        </w:rPr>
      </w:pPr>
      <w:r w:rsidDel="00000000" w:rsidR="00000000" w:rsidRPr="00000000">
        <w:rPr>
          <w:rtl w:val="0"/>
        </w:rPr>
      </w:r>
    </w:p>
    <w:tbl>
      <w:tblPr>
        <w:tblStyle w:val="Table2"/>
        <w:tblW w:w="59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5"/>
        <w:tblGridChange w:id="0">
          <w:tblGrid>
            <w:gridCol w:w="5955"/>
          </w:tblGrid>
        </w:tblGridChange>
      </w:tblGrid>
      <w:tr>
        <w:trPr>
          <w:cantSplit w:val="0"/>
          <w:trHeight w:val="357.978515625"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Assinatura</w:t>
            </w:r>
          </w:p>
        </w:tc>
      </w:tr>
    </w:tbl>
    <w:p w:rsidR="00000000" w:rsidDel="00000000" w:rsidP="00000000" w:rsidRDefault="00000000" w:rsidRPr="00000000" w14:paraId="0000005B">
      <w:pPr>
        <w:spacing w:line="240" w:lineRule="auto"/>
        <w:ind w:left="0" w:firstLine="0"/>
        <w:jc w:val="left"/>
        <w:rPr>
          <w:rFonts w:ascii="Times New Roman" w:cs="Times New Roman" w:eastAsia="Times New Roman" w:hAnsi="Times New Roman"/>
          <w:sz w:val="22"/>
          <w:szCs w:val="22"/>
          <w:highlight w:val="white"/>
        </w:rPr>
      </w:pPr>
      <w:r w:rsidDel="00000000" w:rsidR="00000000" w:rsidRPr="00000000">
        <w:rPr>
          <w:rtl w:val="0"/>
        </w:rPr>
      </w:r>
    </w:p>
    <w:sectPr>
      <w:headerReference r:id="rId6" w:type="default"/>
      <w:footerReference r:id="rId7"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071.0" w:type="dxa"/>
      <w:jc w:val="center"/>
      <w:tblBorders>
        <w:top w:color="000000" w:space="0" w:sz="4" w:val="single"/>
      </w:tblBorders>
      <w:tblLayout w:type="fixed"/>
      <w:tblLook w:val="0400"/>
    </w:tblPr>
    <w:tblGrid>
      <w:gridCol w:w="8412"/>
      <w:gridCol w:w="659"/>
      <w:tblGridChange w:id="0">
        <w:tblGrid>
          <w:gridCol w:w="8412"/>
          <w:gridCol w:w="659"/>
        </w:tblGrid>
      </w:tblGridChange>
    </w:tblGrid>
    <w:tr>
      <w:trPr>
        <w:cantSplit w:val="0"/>
        <w:tblHeader w:val="0"/>
      </w:trPr>
      <w:tc>
        <w:tcP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36"/>
              <w:tab w:val="right" w:leader="none" w:pos="878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Avenida do Vale, Quadra 22, n.º 10, Renascença II - CEP 65.075-820 - São Luís, Maranhão.</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36"/>
              <w:tab w:val="right" w:leader="none" w:pos="8789"/>
            </w:tabs>
            <w:spacing w:after="0" w:before="0" w:line="240" w:lineRule="auto"/>
            <w:ind w:left="0" w:right="0" w:firstLine="0"/>
            <w:jc w:val="center"/>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Fone/Fax: (98) 3878-6600 ou (98) 3878-6601</w:t>
          </w:r>
          <w:r w:rsidDel="00000000" w:rsidR="00000000" w:rsidRPr="00000000">
            <w:rPr>
              <w:rtl w:val="0"/>
            </w:rPr>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36"/>
              <w:tab w:val="right" w:leader="none" w:pos="87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524125" cy="533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533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